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1B" w:rsidRPr="00D617D6" w:rsidRDefault="009B6209">
      <w:pPr>
        <w:spacing w:after="200" w:line="240" w:lineRule="auto"/>
        <w:jc w:val="right"/>
        <w:rPr>
          <w:rFonts w:ascii="Corbel" w:eastAsia="Corbel" w:hAnsi="Corbel" w:cs="Corbel"/>
          <w:i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ab/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 xml:space="preserve">Załącznik nr 1.5 </w:t>
      </w:r>
      <w:r w:rsidR="0066406A">
        <w:rPr>
          <w:rFonts w:ascii="Corbel" w:eastAsia="Corbel" w:hAnsi="Corbel" w:cs="Corbel"/>
          <w:i/>
          <w:color w:val="000000" w:themeColor="text1"/>
          <w:sz w:val="24"/>
          <w:szCs w:val="24"/>
        </w:rPr>
        <w:t>do Zarządzenia Rektora UR  nr 61/2025</w:t>
      </w:r>
    </w:p>
    <w:p w:rsidR="0080691B" w:rsidRPr="00D617D6" w:rsidRDefault="00F10790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eastAsia="Corbel" w:hAnsi="Corbel" w:cs="Corbel"/>
          <w:b/>
          <w:color w:val="000000" w:themeColor="text1"/>
          <w:sz w:val="24"/>
          <w:szCs w:val="24"/>
        </w:rPr>
        <w:t>SYLABUS</w:t>
      </w:r>
    </w:p>
    <w:p w:rsidR="0080691B" w:rsidRPr="00D617D6" w:rsidRDefault="00F10790" w:rsidP="0EE1FC75">
      <w:pPr>
        <w:spacing w:after="0" w:line="240" w:lineRule="auto"/>
        <w:jc w:val="center"/>
        <w:rPr>
          <w:rFonts w:ascii="Corbel" w:eastAsia="Corbel" w:hAnsi="Corbel" w:cs="Corbel"/>
          <w:i/>
          <w:iCs/>
          <w:color w:val="000000" w:themeColor="text1"/>
          <w:sz w:val="24"/>
          <w:szCs w:val="24"/>
        </w:rPr>
      </w:pPr>
      <w:r w:rsidRPr="0EE1FC75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DOTYCZY CYKLU KSZTAŁCENIA </w:t>
      </w:r>
      <w:r w:rsidR="00503751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202</w:t>
      </w:r>
      <w:r w:rsidR="0066406A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5</w:t>
      </w:r>
      <w:r w:rsidRPr="00F10790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-202</w:t>
      </w:r>
      <w:r w:rsidR="0066406A">
        <w:rPr>
          <w:rFonts w:ascii="Corbel" w:eastAsia="Corbel" w:hAnsi="Corbel" w:cs="Corbel"/>
          <w:b/>
          <w:i/>
          <w:iCs/>
          <w:color w:val="000000" w:themeColor="text1"/>
          <w:sz w:val="28"/>
          <w:szCs w:val="28"/>
        </w:rPr>
        <w:t>8</w:t>
      </w:r>
    </w:p>
    <w:p w:rsidR="00F10790" w:rsidRPr="00F10790" w:rsidRDefault="00F10790" w:rsidP="00AE6106">
      <w:pPr>
        <w:spacing w:after="0" w:line="240" w:lineRule="auto"/>
        <w:jc w:val="center"/>
        <w:rPr>
          <w:rFonts w:ascii="Corbel" w:eastAsia="Corbel" w:hAnsi="Corbel" w:cs="Corbel"/>
          <w:color w:val="000000" w:themeColor="text1"/>
          <w:sz w:val="24"/>
          <w:szCs w:val="24"/>
        </w:rPr>
      </w:pPr>
    </w:p>
    <w:p w:rsidR="0080691B" w:rsidRPr="00F10790" w:rsidRDefault="009B6209" w:rsidP="00F10790">
      <w:pPr>
        <w:spacing w:after="0" w:line="240" w:lineRule="auto"/>
        <w:jc w:val="center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F10790">
        <w:rPr>
          <w:rFonts w:ascii="Corbel" w:eastAsia="Corbel" w:hAnsi="Corbel" w:cs="Corbel"/>
          <w:b/>
          <w:color w:val="000000" w:themeColor="text1"/>
          <w:sz w:val="24"/>
          <w:szCs w:val="24"/>
        </w:rPr>
        <w:t>Rok akademicki  202</w:t>
      </w:r>
      <w:r w:rsidR="0066406A">
        <w:rPr>
          <w:rFonts w:ascii="Corbel" w:eastAsia="Corbel" w:hAnsi="Corbel" w:cs="Corbel"/>
          <w:b/>
          <w:color w:val="000000" w:themeColor="text1"/>
          <w:sz w:val="24"/>
          <w:szCs w:val="24"/>
        </w:rPr>
        <w:t>6</w:t>
      </w:r>
      <w:r w:rsidRPr="00F10790">
        <w:rPr>
          <w:rFonts w:ascii="Corbel" w:eastAsia="Corbel" w:hAnsi="Corbel" w:cs="Corbel"/>
          <w:b/>
          <w:color w:val="000000" w:themeColor="text1"/>
          <w:sz w:val="24"/>
          <w:szCs w:val="24"/>
        </w:rPr>
        <w:t>-202</w:t>
      </w:r>
      <w:r w:rsidR="0066406A">
        <w:rPr>
          <w:rFonts w:ascii="Corbel" w:eastAsia="Corbel" w:hAnsi="Corbel" w:cs="Corbel"/>
          <w:b/>
          <w:color w:val="000000" w:themeColor="text1"/>
          <w:sz w:val="24"/>
          <w:szCs w:val="24"/>
        </w:rPr>
        <w:t>7</w:t>
      </w:r>
    </w:p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F10790" w:rsidRDefault="00F10790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 PODSTAWOWE INFORMACJE O PRZEDMIOCIE/MODULE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641"/>
        <w:gridCol w:w="6827"/>
      </w:tblGrid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2758F9" w:rsidRDefault="009B6209" w:rsidP="002A34EF">
            <w:pPr>
              <w:spacing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2758F9">
              <w:rPr>
                <w:rFonts w:ascii="Corbel" w:eastAsia="Arial" w:hAnsi="Corbel" w:cs="Arial"/>
                <w:b/>
                <w:sz w:val="24"/>
                <w:szCs w:val="24"/>
              </w:rPr>
              <w:t>Bezpieczeństwo wewnętrzne Unii Europejskiej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BW_06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66406A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Wydział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 xml:space="preserve"> Nauk Społecznych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2758F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Instytut Nauk o Polityce</w:t>
            </w:r>
            <w:r w:rsidR="0066406A">
              <w:rPr>
                <w:rFonts w:ascii="Corbel" w:eastAsia="Corbel" w:hAnsi="Corbel" w:cs="Corbel"/>
                <w:sz w:val="24"/>
                <w:szCs w:val="24"/>
              </w:rPr>
              <w:t xml:space="preserve"> i Bezpieczeństwie 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Bezpieczeństwo wewnętrzne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2758F9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S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tudia I stopnia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raktyczny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8646FD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Niestacjonarne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8646FD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 xml:space="preserve">II rok, 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semestr III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odstawowy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F10790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P</w:t>
            </w:r>
            <w:r w:rsidR="009B6209" w:rsidRPr="00AE6106">
              <w:rPr>
                <w:rFonts w:ascii="Corbel" w:eastAsia="Arial" w:hAnsi="Corbel" w:cs="Arial"/>
                <w:sz w:val="24"/>
                <w:szCs w:val="24"/>
              </w:rPr>
              <w:t>olski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A34EF">
            <w:pPr>
              <w:tabs>
                <w:tab w:val="left" w:pos="-5643"/>
              </w:tabs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0379DC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 xml:space="preserve">Dr </w:t>
            </w:r>
            <w:r w:rsidR="005B2F7F">
              <w:rPr>
                <w:rFonts w:ascii="Corbel" w:eastAsia="Arial" w:hAnsi="Corbel" w:cs="Arial"/>
                <w:sz w:val="24"/>
                <w:szCs w:val="24"/>
              </w:rPr>
              <w:t>Grzegorz Pawlikowski</w:t>
            </w:r>
          </w:p>
        </w:tc>
      </w:tr>
      <w:tr w:rsidR="00D617D6" w:rsidRPr="00AE6106" w:rsidTr="00AE6106">
        <w:trPr>
          <w:trHeight w:val="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AE6106" w:rsidRDefault="009B6209" w:rsidP="002758F9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Default="000379DC" w:rsidP="002A34EF">
            <w:pPr>
              <w:spacing w:after="0" w:line="276" w:lineRule="auto"/>
              <w:rPr>
                <w:rFonts w:ascii="Corbel" w:eastAsia="Arial" w:hAnsi="Corbel" w:cs="Arial"/>
                <w:sz w:val="24"/>
                <w:szCs w:val="24"/>
              </w:rPr>
            </w:pPr>
            <w:r w:rsidRPr="00AE6106">
              <w:rPr>
                <w:rFonts w:ascii="Corbel" w:eastAsia="Arial" w:hAnsi="Corbel" w:cs="Arial"/>
                <w:sz w:val="24"/>
                <w:szCs w:val="24"/>
              </w:rPr>
              <w:t xml:space="preserve">Dr </w:t>
            </w:r>
            <w:r w:rsidR="005B2F7F">
              <w:rPr>
                <w:rFonts w:ascii="Corbel" w:eastAsia="Arial" w:hAnsi="Corbel" w:cs="Arial"/>
                <w:sz w:val="24"/>
                <w:szCs w:val="24"/>
              </w:rPr>
              <w:t>Grzegorz Pawlikowski</w:t>
            </w:r>
          </w:p>
          <w:p w:rsidR="005B2F7F" w:rsidRDefault="005B2F7F" w:rsidP="002A34EF">
            <w:pPr>
              <w:spacing w:after="0" w:line="276" w:lineRule="auto"/>
              <w:rPr>
                <w:rFonts w:ascii="Corbel" w:eastAsia="Arial" w:hAnsi="Corbel" w:cs="Aria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Dr Dariusz Fudali</w:t>
            </w:r>
          </w:p>
          <w:p w:rsidR="005B2F7F" w:rsidRPr="00AE6106" w:rsidRDefault="005B2F7F" w:rsidP="002A34EF">
            <w:pPr>
              <w:spacing w:after="0" w:line="276" w:lineRule="auto"/>
              <w:rPr>
                <w:rFonts w:ascii="Corbel" w:eastAsia="Arial" w:hAnsi="Corbel" w:cs="Aria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Mgr Magdalena Biernacka</w:t>
            </w:r>
          </w:p>
        </w:tc>
      </w:tr>
    </w:tbl>
    <w:p w:rsidR="0080691B" w:rsidRPr="00F10790" w:rsidRDefault="009B6209" w:rsidP="00F1079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color w:val="000000" w:themeColor="text1"/>
          <w:sz w:val="24"/>
          <w:szCs w:val="24"/>
        </w:rPr>
      </w:pPr>
      <w:r w:rsidRPr="00D617D6">
        <w:rPr>
          <w:rFonts w:ascii="Corbel" w:eastAsia="Corbel" w:hAnsi="Corbel" w:cs="Corbel"/>
          <w:b/>
          <w:color w:val="000000" w:themeColor="text1"/>
          <w:sz w:val="24"/>
          <w:szCs w:val="24"/>
        </w:rPr>
        <w:t xml:space="preserve">* </w:t>
      </w:r>
      <w:r w:rsidRPr="00D617D6">
        <w:rPr>
          <w:rFonts w:ascii="Corbel" w:eastAsia="Corbel" w:hAnsi="Corbel" w:cs="Corbel"/>
          <w:b/>
          <w:i/>
          <w:color w:val="000000" w:themeColor="text1"/>
          <w:sz w:val="24"/>
          <w:szCs w:val="24"/>
        </w:rPr>
        <w:t>-</w:t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opcjonalni</w:t>
      </w:r>
      <w:r w:rsidRPr="00D617D6">
        <w:rPr>
          <w:rFonts w:ascii="Corbel" w:eastAsia="Corbel" w:hAnsi="Corbel" w:cs="Corbel"/>
          <w:color w:val="000000" w:themeColor="text1"/>
          <w:sz w:val="24"/>
          <w:szCs w:val="24"/>
        </w:rPr>
        <w:t>e,</w:t>
      </w:r>
      <w:r w:rsidRPr="00D617D6">
        <w:rPr>
          <w:rFonts w:ascii="Corbel" w:eastAsia="Corbel" w:hAnsi="Corbel" w:cs="Corbel"/>
          <w:i/>
          <w:color w:val="000000" w:themeColor="text1"/>
          <w:sz w:val="24"/>
          <w:szCs w:val="24"/>
        </w:rPr>
        <w:t>zgodnie z ustaleniami w Jednostce</w:t>
      </w:r>
    </w:p>
    <w:p w:rsidR="002A34EF" w:rsidRDefault="002A34EF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:rsidR="0080691B" w:rsidRPr="00F10790" w:rsidRDefault="009B6209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1.1.Formy zajęć dydaktycznych, wymiar godzin i punktów ECTS </w:t>
      </w:r>
    </w:p>
    <w:p w:rsidR="0080691B" w:rsidRPr="00F10790" w:rsidRDefault="0080691B">
      <w:pPr>
        <w:tabs>
          <w:tab w:val="left" w:pos="-5814"/>
        </w:tabs>
        <w:spacing w:after="0" w:line="240" w:lineRule="auto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105"/>
        <w:gridCol w:w="895"/>
        <w:gridCol w:w="763"/>
        <w:gridCol w:w="881"/>
        <w:gridCol w:w="783"/>
        <w:gridCol w:w="813"/>
        <w:gridCol w:w="726"/>
        <w:gridCol w:w="931"/>
        <w:gridCol w:w="1159"/>
        <w:gridCol w:w="1412"/>
      </w:tblGrid>
      <w:tr w:rsidR="00AE6106" w:rsidRPr="00D617D6" w:rsidTr="005D2BD9">
        <w:trPr>
          <w:trHeight w:val="325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Semestr</w:t>
            </w:r>
          </w:p>
          <w:p w:rsidR="005D2BD9" w:rsidRPr="00D617D6" w:rsidRDefault="005D2BD9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(nr)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Wykł.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Ćw.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Konw.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Sem.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ZP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Prakt.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D2BD9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Inne</w:t>
            </w:r>
          </w:p>
          <w:p w:rsidR="0080691B" w:rsidRPr="00D617D6" w:rsidRDefault="005D2BD9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(jakie?)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Default="009B6209" w:rsidP="00AE6106">
            <w:pPr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Liczba pkt </w:t>
            </w:r>
          </w:p>
          <w:p w:rsidR="005D2BD9" w:rsidRPr="00D617D6" w:rsidRDefault="005D2BD9" w:rsidP="00AE6106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ECTS</w:t>
            </w:r>
          </w:p>
        </w:tc>
      </w:tr>
      <w:tr w:rsidR="00AE6106" w:rsidRPr="00D617D6" w:rsidTr="005D2BD9"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009B620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III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2F3E293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1</w:t>
            </w:r>
            <w:r w:rsidR="008646FD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8646FD" w:rsidP="2F3E2937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2</w:t>
            </w:r>
            <w:r w:rsidR="12D48244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80691B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5D2BD9" w:rsidRDefault="005D2BD9">
      <w:pPr>
        <w:tabs>
          <w:tab w:val="left" w:pos="709"/>
        </w:tabs>
        <w:spacing w:after="0" w:line="240" w:lineRule="auto"/>
        <w:ind w:left="284"/>
        <w:rPr>
          <w:rFonts w:ascii="Corbel" w:eastAsia="Arial" w:hAnsi="Corbel" w:cs="Arial"/>
          <w:b/>
          <w:color w:val="000000" w:themeColor="text1"/>
          <w:sz w:val="28"/>
          <w:szCs w:val="28"/>
        </w:rPr>
      </w:pPr>
    </w:p>
    <w:p w:rsidR="0080691B" w:rsidRPr="00F10790" w:rsidRDefault="009B6209">
      <w:pPr>
        <w:tabs>
          <w:tab w:val="left" w:pos="709"/>
        </w:tabs>
        <w:spacing w:after="0" w:line="240" w:lineRule="auto"/>
        <w:ind w:left="284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8"/>
          <w:szCs w:val="28"/>
        </w:rPr>
        <w:t>1.2.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Sposób realizacji zajęć  </w:t>
      </w:r>
    </w:p>
    <w:p w:rsidR="0080691B" w:rsidRPr="00D617D6" w:rsidRDefault="009B6209">
      <w:pPr>
        <w:spacing w:after="0" w:line="240" w:lineRule="auto"/>
        <w:ind w:left="709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☒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 zajęcia w formie tradycyjnej </w:t>
      </w:r>
    </w:p>
    <w:p w:rsidR="0080691B" w:rsidRPr="00D617D6" w:rsidRDefault="009B6209">
      <w:pPr>
        <w:spacing w:after="0" w:line="240" w:lineRule="auto"/>
        <w:ind w:left="709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Segoe UI Symbol" w:eastAsia="Segoe UI Symbol" w:hAnsi="Segoe UI Symbol" w:cs="Segoe UI Symbol"/>
          <w:color w:val="000000" w:themeColor="text1"/>
          <w:sz w:val="24"/>
          <w:szCs w:val="24"/>
        </w:rPr>
        <w:t>☐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 zajęcia realizowane z wykorzystaniem metod i technik kształcenia na odległość</w:t>
      </w:r>
    </w:p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5D2BD9" w:rsidRDefault="005D2BD9" w:rsidP="00F10790">
      <w:pPr>
        <w:tabs>
          <w:tab w:val="left" w:pos="70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p w:rsidR="0080691B" w:rsidRPr="00F10790" w:rsidRDefault="00F10790" w:rsidP="00F10790">
      <w:pPr>
        <w:tabs>
          <w:tab w:val="left" w:pos="70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1.3. </w:t>
      </w:r>
      <w:r w:rsidR="009B6209"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Forma zaliczenia przedmiotu /modułu (z toku)</w:t>
      </w:r>
    </w:p>
    <w:p w:rsidR="00F10790" w:rsidRDefault="00F10790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</w:p>
    <w:p w:rsidR="0080691B" w:rsidRPr="00D617D6" w:rsidRDefault="00F10790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  <w:r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 xml:space="preserve">Wykład: </w:t>
      </w:r>
      <w:r w:rsidR="7FC5BCC3"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e</w:t>
      </w:r>
      <w:r w:rsidR="009B6209"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gzamin</w:t>
      </w:r>
    </w:p>
    <w:p w:rsidR="0080691B" w:rsidRPr="00D617D6" w:rsidRDefault="009B6209" w:rsidP="00F10790">
      <w:pPr>
        <w:tabs>
          <w:tab w:val="left" w:pos="720"/>
        </w:tabs>
        <w:spacing w:after="0" w:line="276" w:lineRule="auto"/>
        <w:jc w:val="both"/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</w:pPr>
      <w:r w:rsidRPr="00D617D6">
        <w:rPr>
          <w:rFonts w:ascii="Corbel" w:eastAsia="Arial" w:hAnsi="Corbel" w:cs="Arial"/>
          <w:color w:val="000000" w:themeColor="text1"/>
          <w:spacing w:val="-6"/>
          <w:sz w:val="24"/>
          <w:szCs w:val="24"/>
          <w:shd w:val="clear" w:color="auto" w:fill="FFFFFF"/>
        </w:rPr>
        <w:t>Ćwiczenia: zaliczenie z oceną</w:t>
      </w:r>
    </w:p>
    <w:p w:rsidR="0080691B" w:rsidRPr="00D617D6" w:rsidRDefault="0080691B">
      <w:pPr>
        <w:spacing w:after="0" w:line="240" w:lineRule="auto"/>
        <w:ind w:left="9765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F10790" w:rsidRDefault="00F10790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8"/>
          <w:szCs w:val="28"/>
        </w:rPr>
        <w:t>2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.WYMAGANIA WSTĘPNE </w:t>
      </w:r>
    </w:p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468"/>
      </w:tblGrid>
      <w:tr w:rsidR="00D617D6" w:rsidRPr="00D617D6" w:rsidTr="1BDF6459">
        <w:trPr>
          <w:trHeight w:val="1"/>
        </w:trPr>
        <w:tc>
          <w:tcPr>
            <w:tcW w:w="9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2493819C">
            <w:pPr>
              <w:spacing w:before="40" w:after="4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Z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najomość podstawowych zagadnień z zakresu integracji europejskiej i teorii bezpieczeństwa państwa</w:t>
            </w:r>
            <w:r w:rsidR="50F93852" w:rsidRPr="00D617D6">
              <w:rPr>
                <w:rFonts w:ascii="Corbel" w:eastAsia="Arial" w:hAnsi="Corbel" w:cs="Arial"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</w:tr>
    </w:tbl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F10790" w:rsidRDefault="00F10790" w:rsidP="002A34EF">
      <w:pPr>
        <w:spacing w:after="0" w:line="240" w:lineRule="auto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3. CELE, EFEKTY UCZENIA SIĘ , TREŚCI PROGRAMOWE I STOSOWANE METODY DYDAKTYCZNE</w:t>
      </w:r>
    </w:p>
    <w:p w:rsidR="0080691B" w:rsidRPr="00F10790" w:rsidRDefault="009B620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3.1 Cele przedmiotu/modułu </w:t>
      </w:r>
    </w:p>
    <w:p w:rsidR="0080691B" w:rsidRPr="00D617D6" w:rsidRDefault="0080691B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Arial" w:hAnsi="Corbe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667"/>
        <w:gridCol w:w="8801"/>
      </w:tblGrid>
      <w:tr w:rsidR="00D617D6" w:rsidRPr="00D617D6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0691B" w:rsidRPr="00D617D6" w:rsidRDefault="5E28C93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rzekazanie wiedzy na temat wybranych elementów bezpieczeństwa wewnętrznego Unii Europejskiej</w:t>
            </w:r>
            <w:r w:rsidR="27884EB7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tabs>
                <w:tab w:val="left" w:pos="720"/>
              </w:tabs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0691B" w:rsidRPr="00D617D6" w:rsidRDefault="5AD95FAE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ategoryzacja zagrożeń dla bezpieczeństwa wewnętrznego Unii Europejskiej</w:t>
            </w:r>
            <w:r w:rsidR="3E6E2878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:rsidTr="1BDF6459">
        <w:trPr>
          <w:trHeight w:val="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80691B" w:rsidRPr="00D617D6" w:rsidRDefault="31F1ABCF">
            <w:pPr>
              <w:spacing w:before="40" w:after="4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ształtowanie umiejętności analizy  problemów bezpieczeństwa  w warunkach globalizacji</w:t>
            </w:r>
            <w:r w:rsidR="3DAC4975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F10790" w:rsidRDefault="009B6209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3.2 Efekty uczenia się dla przedmiotu/ modułu ( </w:t>
      </w:r>
      <w:r w:rsidRPr="00F10790">
        <w:rPr>
          <w:rFonts w:ascii="Corbel" w:eastAsia="Arial" w:hAnsi="Corbel" w:cs="Arial"/>
          <w:b/>
          <w:i/>
          <w:color w:val="000000" w:themeColor="text1"/>
          <w:sz w:val="24"/>
          <w:szCs w:val="24"/>
        </w:rPr>
        <w:t>wypełnia koordynator</w:t>
      </w: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)</w:t>
      </w:r>
    </w:p>
    <w:p w:rsidR="0080691B" w:rsidRPr="00F10790" w:rsidRDefault="0080691B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701"/>
        <w:gridCol w:w="6096"/>
        <w:gridCol w:w="1670"/>
      </w:tblGrid>
      <w:tr w:rsidR="00D617D6" w:rsidRPr="00D617D6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</w:t>
            </w:r>
          </w:p>
          <w:p w:rsidR="0080691B" w:rsidRPr="002A34EF" w:rsidRDefault="009B6209" w:rsidP="002A34EF">
            <w:pPr>
              <w:spacing w:after="0" w:line="276" w:lineRule="auto"/>
              <w:jc w:val="center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Treść efektu uczenia się zdefiniowanego dla przedmiotu (modułu)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Odniesienie do efektów  kierunkowych (KEK)</w:t>
            </w:r>
          </w:p>
        </w:tc>
      </w:tr>
      <w:tr w:rsidR="00D617D6" w:rsidRPr="00D617D6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E55EC9" w:rsidRDefault="00837548" w:rsidP="00E55EC9">
            <w:pPr>
              <w:spacing w:after="0" w:line="276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</w:t>
            </w:r>
            <w:r w:rsidR="00E55EC9" w:rsidRPr="00E55EC9">
              <w:rPr>
                <w:rFonts w:ascii="Corbel" w:hAnsi="Corbel"/>
                <w:sz w:val="24"/>
                <w:szCs w:val="24"/>
              </w:rPr>
              <w:t>terminologię używaną w naukach o bezpieczeństwie, jej źródła, klasyfikację oraz zastosowanie w obrębie innych dyscyplin naukowych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K_W0</w:t>
            </w:r>
            <w:r w:rsid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1</w:t>
            </w:r>
          </w:p>
        </w:tc>
      </w:tr>
      <w:tr w:rsidR="00D617D6" w:rsidRPr="00D617D6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E55EC9" w:rsidRDefault="00E55EC9" w:rsidP="00837548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w zawansowanym stopniu właściwości i mechanizmy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ewolucji bezpieczeństwa wewnętrznego Unii Europejskiej.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K_W0</w:t>
            </w:r>
            <w:r w:rsid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2</w:t>
            </w:r>
          </w:p>
        </w:tc>
      </w:tr>
      <w:tr w:rsidR="00D617D6" w:rsidRPr="00D617D6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837548" w:rsidRDefault="00E55EC9" w:rsidP="002A34EF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Zna i rozumie w zawansowanym stopniu normy i reguły rządzące strukturami i instytucjami nadzorującymi bezpieczeństwa wewnętrzne </w:t>
            </w: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Unii Europejskiej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503751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</w:t>
            </w:r>
            <w:r w:rsidR="00E55EC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3</w:t>
            </w:r>
          </w:p>
        </w:tc>
      </w:tr>
      <w:tr w:rsidR="00D617D6" w:rsidRPr="00D617D6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837548" w:rsidRDefault="39965498" w:rsidP="002A34EF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P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otrafi </w:t>
            </w:r>
            <w:r w:rsidR="00837548" w:rsidRPr="00664524">
              <w:rPr>
                <w:rFonts w:ascii="Corbel" w:hAnsi="Corbel"/>
              </w:rPr>
              <w:t>identyfikować, interpretować i wyjaśniać zjawiska i procesy</w:t>
            </w:r>
            <w:r w:rsidR="00837548">
              <w:rPr>
                <w:rFonts w:ascii="Corbel" w:hAnsi="Corbel"/>
              </w:rPr>
              <w:t xml:space="preserve"> wpływające na bezpieczeństwo wewnętrzne w krajach Unii Europejskiej, oraz 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porządkować relacje i zależności 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lastRenderedPageBreak/>
              <w:t>między poszczególnymi instytucjami bezpieczeństwa wewnętrznego Unii Europejskiej</w:t>
            </w:r>
            <w:r w:rsidR="514646F2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503751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lastRenderedPageBreak/>
              <w:t>K_U04</w:t>
            </w:r>
          </w:p>
        </w:tc>
      </w:tr>
      <w:tr w:rsidR="00D617D6" w:rsidRPr="00D617D6" w:rsidTr="1BDF6459">
        <w:trPr>
          <w:trHeight w:val="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0929FC" w:rsidRDefault="00837548" w:rsidP="002A34EF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Jest gotów aktywnie uczestniczyć </w:t>
            </w:r>
            <w:r w:rsidR="000929FC" w:rsidRPr="000929FC">
              <w:rPr>
                <w:rFonts w:ascii="Corbel" w:hAnsi="Corbel"/>
                <w:sz w:val="24"/>
                <w:szCs w:val="24"/>
              </w:rPr>
              <w:t>w przygotowywaniu projektów społecznych uwzględniających aspekty polityczne i prawne określonych problemów bezpieczeństwa</w:t>
            </w:r>
            <w:r w:rsidR="000929FC"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 </w:t>
            </w:r>
            <w:r w:rsidR="009B6209"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Unii Europejskiej</w:t>
            </w:r>
            <w:r w:rsidR="6F16150E" w:rsidRPr="000929FC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2A34EF">
            <w:pPr>
              <w:spacing w:after="0" w:line="276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K_K0</w:t>
            </w:r>
            <w:r w:rsidR="00503751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4</w:t>
            </w:r>
          </w:p>
        </w:tc>
      </w:tr>
    </w:tbl>
    <w:p w:rsidR="0080691B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3D458D" w:rsidRDefault="003D458D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3D458D" w:rsidRPr="00D617D6" w:rsidRDefault="003D458D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F10790" w:rsidRDefault="009B6209">
      <w:pPr>
        <w:spacing w:after="200" w:line="240" w:lineRule="auto"/>
        <w:ind w:left="426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F10790">
        <w:rPr>
          <w:rFonts w:ascii="Corbel" w:eastAsia="Arial" w:hAnsi="Corbel" w:cs="Arial"/>
          <w:b/>
          <w:color w:val="000000" w:themeColor="text1"/>
          <w:sz w:val="24"/>
          <w:szCs w:val="24"/>
        </w:rPr>
        <w:t>3.3 Treści programowe (</w:t>
      </w:r>
      <w:r w:rsidRPr="00F10790">
        <w:rPr>
          <w:rFonts w:ascii="Corbel" w:eastAsia="Arial" w:hAnsi="Corbel" w:cs="Arial"/>
          <w:b/>
          <w:i/>
          <w:color w:val="000000" w:themeColor="text1"/>
          <w:sz w:val="24"/>
          <w:szCs w:val="24"/>
        </w:rPr>
        <w:t>wypełnia koordynator)</w:t>
      </w:r>
    </w:p>
    <w:p w:rsidR="0080691B" w:rsidRPr="003E548F" w:rsidRDefault="009B6209" w:rsidP="1BDF6459">
      <w:pPr>
        <w:numPr>
          <w:ilvl w:val="0"/>
          <w:numId w:val="2"/>
        </w:numPr>
        <w:spacing w:after="120" w:line="276" w:lineRule="auto"/>
        <w:ind w:left="1080" w:hanging="360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Problematyka wykładów</w:t>
      </w:r>
    </w:p>
    <w:tbl>
      <w:tblPr>
        <w:tblW w:w="0" w:type="auto"/>
        <w:tblInd w:w="15" w:type="dxa"/>
        <w:tblLayout w:type="fixed"/>
        <w:tblLook w:val="06A0"/>
      </w:tblPr>
      <w:tblGrid>
        <w:gridCol w:w="660"/>
        <w:gridCol w:w="8610"/>
      </w:tblGrid>
      <w:tr w:rsidR="1BDF6459" w:rsidRPr="002A34EF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1BDF6459" w:rsidRPr="002A34EF" w:rsidRDefault="1BDF6459" w:rsidP="002A34EF">
            <w:pPr>
              <w:spacing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1BDF6459" w:rsidRPr="002A34EF" w:rsidRDefault="1BDF6459" w:rsidP="002A34EF">
            <w:pPr>
              <w:spacing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Temat zajęć</w:t>
            </w:r>
          </w:p>
        </w:tc>
      </w:tr>
      <w:tr w:rsidR="1BDF6459" w:rsidRPr="002A34EF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0379DC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Historyczne podłoże </w:t>
            </w:r>
            <w:r w:rsidR="000379DC" w:rsidRPr="002A34EF">
              <w:rPr>
                <w:rFonts w:ascii="Corbel" w:eastAsia="Corbel" w:hAnsi="Corbel" w:cs="Corbel"/>
                <w:sz w:val="24"/>
                <w:szCs w:val="24"/>
              </w:rPr>
              <w:t xml:space="preserve">polityki bezpieczeństwa 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>wewnętrznego Wspólnot Europejskich/Unii Europejskiej</w:t>
            </w:r>
          </w:p>
        </w:tc>
      </w:tr>
      <w:tr w:rsidR="00054AB8" w:rsidRPr="002A34EF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054AB8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054AB8" w:rsidRPr="002A34EF" w:rsidRDefault="00054AB8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Podstawy prawne wspólnej polityki zagranicznej i bezpieczeństwa Unii Europejskiej</w:t>
            </w:r>
          </w:p>
        </w:tc>
      </w:tr>
      <w:tr w:rsidR="1BDF6459" w:rsidRPr="002A34EF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1BDF6459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0379DC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Rozwiązania instytucjonalne i proces decyzyjny polityki bezpieczeństwa </w:t>
            </w:r>
          </w:p>
        </w:tc>
      </w:tr>
      <w:tr w:rsidR="0030378A" w:rsidRPr="002A34EF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30378A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4.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30378A" w:rsidRPr="002A34EF" w:rsidRDefault="0030378A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Obszary współpracy w procesie kształtowania polityki bezpieczeństwa UE</w:t>
            </w:r>
          </w:p>
        </w:tc>
      </w:tr>
      <w:tr w:rsidR="1BDF6459" w:rsidRPr="002A34EF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0030378A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4</w:t>
            </w:r>
            <w:r w:rsidR="1BDF6459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1BDF6459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Instytucje decyzyjne i wykonawcze W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spólnej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olityki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agranicznej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B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ezpieczeństwa</w:t>
            </w:r>
          </w:p>
        </w:tc>
      </w:tr>
      <w:tr w:rsidR="1BDF6459" w:rsidRPr="002A34EF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003F463E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  <w:r w:rsidR="1BDF6459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1BDF6459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Organizacje </w:t>
            </w:r>
            <w:r w:rsidR="003F463E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wyspecjalizowane w obszarze </w:t>
            </w:r>
            <w:r w:rsidR="00E64F01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004C64A8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olityki bezpieczeństwa Unii Europejskiej</w:t>
            </w:r>
          </w:p>
        </w:tc>
      </w:tr>
      <w:tr w:rsidR="003F463E" w:rsidRPr="002A34EF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3F463E" w:rsidRPr="002A34EF" w:rsidRDefault="003F463E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3F463E" w:rsidRPr="002A34EF" w:rsidRDefault="003F463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Wsp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ólna </w:t>
            </w:r>
            <w:r w:rsidR="00F05BFF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Europejska 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Polityka Bezpieczeństwa i O</w:t>
            </w: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brony Unii Europejskiej </w:t>
            </w:r>
          </w:p>
        </w:tc>
      </w:tr>
      <w:tr w:rsidR="1BDF6459" w:rsidRPr="002A34EF" w:rsidTr="003E548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004C64A8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004C64A8" w:rsidP="002A34EF">
            <w:pPr>
              <w:spacing w:after="0"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zarządzania kryzysowego Unii Europejskiej</w:t>
            </w:r>
          </w:p>
        </w:tc>
      </w:tr>
    </w:tbl>
    <w:p w:rsidR="0080691B" w:rsidRPr="002A34EF" w:rsidRDefault="0080691B" w:rsidP="002A34EF">
      <w:pPr>
        <w:spacing w:after="120" w:line="276" w:lineRule="auto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2A34EF" w:rsidRDefault="009B6209" w:rsidP="002A34EF">
      <w:pPr>
        <w:numPr>
          <w:ilvl w:val="0"/>
          <w:numId w:val="3"/>
        </w:numPr>
        <w:spacing w:after="120" w:line="276" w:lineRule="auto"/>
        <w:ind w:left="1080" w:hanging="360"/>
        <w:jc w:val="both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2A34EF">
        <w:rPr>
          <w:rFonts w:ascii="Corbel" w:eastAsia="Arial" w:hAnsi="Corbel" w:cs="Arial"/>
          <w:color w:val="000000" w:themeColor="text1"/>
          <w:sz w:val="24"/>
          <w:szCs w:val="24"/>
        </w:rPr>
        <w:t>Problematyka ćwiczeń</w:t>
      </w:r>
    </w:p>
    <w:tbl>
      <w:tblPr>
        <w:tblW w:w="0" w:type="auto"/>
        <w:tblInd w:w="15" w:type="dxa"/>
        <w:tblLayout w:type="fixed"/>
        <w:tblLook w:val="06A0"/>
      </w:tblPr>
      <w:tblGrid>
        <w:gridCol w:w="660"/>
        <w:gridCol w:w="8610"/>
      </w:tblGrid>
      <w:tr w:rsidR="1BDF6459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1BDF6459" w:rsidRPr="002A34EF" w:rsidRDefault="1BDF6459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Temat zajęć</w:t>
            </w:r>
          </w:p>
        </w:tc>
      </w:tr>
      <w:tr w:rsidR="1BDF6459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1BDF6459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1.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1BDF645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Zajęcia organizacyjne</w:t>
            </w:r>
            <w:r w:rsidR="66F8DED4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1BDF6459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1BDF6459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/>
                <w:sz w:val="24"/>
                <w:szCs w:val="24"/>
              </w:rPr>
              <w:t>2.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1BDF6459" w:rsidRPr="002A34EF" w:rsidRDefault="1BDF645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Uwarunkowania traktatowe bezpieczeństwa wewnętrznego UE</w:t>
            </w:r>
            <w:r w:rsidR="56735C7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4C64A8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4C64A8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3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4C64A8" w:rsidRPr="002A34EF" w:rsidRDefault="004C64A8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Strategia Bezpieczeństwa</w:t>
            </w:r>
          </w:p>
        </w:tc>
      </w:tr>
      <w:tr w:rsidR="00093D89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093D89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4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093D89" w:rsidRPr="002A34EF" w:rsidRDefault="00093D89" w:rsidP="002A34EF">
            <w:pPr>
              <w:shd w:val="clear" w:color="auto" w:fill="FFFFFF"/>
              <w:spacing w:after="0" w:line="276" w:lineRule="auto"/>
              <w:outlineLvl w:val="1"/>
              <w:rPr>
                <w:rFonts w:ascii="Corbel" w:eastAsia="Times New Roman" w:hAnsi="Corbel" w:cs="Arial"/>
                <w:bCs/>
                <w:sz w:val="24"/>
                <w:szCs w:val="24"/>
              </w:rPr>
            </w:pPr>
            <w:r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 xml:space="preserve">Strategia bezpieczeństwa </w:t>
            </w:r>
            <w:r w:rsidR="0030378A"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 xml:space="preserve"> na </w:t>
            </w:r>
            <w:r w:rsidRPr="002A34EF">
              <w:rPr>
                <w:rFonts w:ascii="Corbel" w:eastAsia="Times New Roman" w:hAnsi="Corbel" w:cs="Arial"/>
                <w:bCs/>
                <w:sz w:val="24"/>
                <w:szCs w:val="24"/>
              </w:rPr>
              <w:t>lata 2020-2025 (</w:t>
            </w:r>
            <w:r w:rsidRPr="002A34EF">
              <w:rPr>
                <w:rFonts w:ascii="Corbel" w:eastAsia="Times New Roman" w:hAnsi="Corbel" w:cs="Arial"/>
                <w:bCs/>
                <w:i/>
                <w:iCs/>
                <w:sz w:val="24"/>
                <w:szCs w:val="24"/>
              </w:rPr>
              <w:t>EU Security Union Strategy</w:t>
            </w:r>
            <w:r w:rsidRPr="002A34EF">
              <w:rPr>
                <w:rFonts w:ascii="Corbel" w:eastAsia="Times New Roman" w:hAnsi="Corbel" w:cs="Arial"/>
                <w:bCs/>
                <w:iCs/>
                <w:sz w:val="24"/>
                <w:szCs w:val="24"/>
              </w:rPr>
              <w:t>)</w:t>
            </w:r>
          </w:p>
        </w:tc>
      </w:tr>
      <w:tr w:rsidR="00AC7C9F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AC7C9F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5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AC7C9F" w:rsidRPr="002A34EF" w:rsidRDefault="001B19F5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Zagrożenia bezpieczeństwa UE</w:t>
            </w:r>
          </w:p>
        </w:tc>
      </w:tr>
      <w:tr w:rsidR="00A72489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A72489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6</w:t>
            </w:r>
            <w:r w:rsidR="007215A5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A72489" w:rsidRPr="002A34EF" w:rsidRDefault="00A72489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Ochrona granic zewnętrznych</w:t>
            </w:r>
            <w:r w:rsidR="00B735AB" w:rsidRPr="002A34EF">
              <w:rPr>
                <w:rFonts w:ascii="Corbel" w:eastAsia="Corbel" w:hAnsi="Corbel" w:cs="Corbel"/>
                <w:sz w:val="24"/>
                <w:szCs w:val="24"/>
              </w:rPr>
              <w:t xml:space="preserve"> UE/strefy Schengen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E64F01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7</w:t>
            </w:r>
            <w:r w:rsidR="0030378A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E64F01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Konwencja wykonawcza do Układu z Schengen. Kodeks Graniczny Schengen</w:t>
            </w:r>
            <w:r w:rsidR="008646FD">
              <w:rPr>
                <w:rFonts w:ascii="Corbel" w:eastAsia="Corbel" w:hAnsi="Corbel" w:cs="Corbel"/>
                <w:sz w:val="24"/>
                <w:szCs w:val="24"/>
              </w:rPr>
              <w:t>, System Informacyjny Schengen</w:t>
            </w:r>
          </w:p>
        </w:tc>
      </w:tr>
      <w:tr w:rsidR="00F9005E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F9005E" w:rsidRPr="002A34EF" w:rsidRDefault="008646F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8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Agencja Straży Granicznej i Przybrzeżnej (FRONTEX)</w:t>
            </w:r>
          </w:p>
        </w:tc>
      </w:tr>
      <w:tr w:rsidR="00F9005E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F9005E" w:rsidRPr="002A34EF" w:rsidRDefault="003D458D" w:rsidP="001A2FE5">
            <w:pPr>
              <w:spacing w:after="0" w:line="276" w:lineRule="auto"/>
              <w:jc w:val="center"/>
              <w:rPr>
                <w:rFonts w:ascii="Corbel" w:eastAsia="Corbel" w:hAnsi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>9</w:t>
            </w:r>
            <w:r w:rsidR="007215A5" w:rsidRPr="002A34EF">
              <w:rPr>
                <w:rFonts w:ascii="Corbel" w:eastAsia="Corbel" w:hAnsi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F9005E" w:rsidRPr="002A34EF" w:rsidRDefault="00F9005E" w:rsidP="002A34EF">
            <w:pPr>
              <w:spacing w:after="0" w:line="276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Wspólna polityka imigracyjna i azylowa UE</w:t>
            </w:r>
            <w:r w:rsidR="008646FD">
              <w:rPr>
                <w:rFonts w:ascii="Corbel" w:eastAsia="Corbel" w:hAnsi="Corbel" w:cs="Corbel"/>
                <w:sz w:val="24"/>
                <w:szCs w:val="24"/>
              </w:rPr>
              <w:t>. Wizowy System Informacyjny</w:t>
            </w:r>
          </w:p>
        </w:tc>
      </w:tr>
      <w:tr w:rsidR="00E64F01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Współpraca celna UE</w:t>
            </w:r>
          </w:p>
        </w:tc>
      </w:tr>
      <w:tr w:rsidR="00A72489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A72489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11</w:t>
            </w:r>
            <w:r w:rsidR="0030378A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A72489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Współpraca policyjna</w:t>
            </w:r>
            <w:r w:rsidR="007F2F82" w:rsidRPr="002A34EF">
              <w:rPr>
                <w:rFonts w:ascii="Corbel" w:eastAsia="Corbel" w:hAnsi="Corbel" w:cs="Corbel"/>
                <w:sz w:val="24"/>
                <w:szCs w:val="24"/>
              </w:rPr>
              <w:t xml:space="preserve"> w ramach UE</w:t>
            </w:r>
          </w:p>
        </w:tc>
      </w:tr>
      <w:tr w:rsidR="00AC7C9F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AC7C9F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</w:t>
            </w:r>
            <w:r w:rsidR="007215A5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AC7C9F" w:rsidRPr="002A34EF" w:rsidRDefault="00AC7C9F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Europejski Urząd Policji (Europol)</w:t>
            </w:r>
          </w:p>
        </w:tc>
      </w:tr>
      <w:tr w:rsidR="00F9005E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F9005E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13</w:t>
            </w:r>
            <w:r w:rsidR="007215A5" w:rsidRPr="002A34E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F9005E" w:rsidRPr="002A34EF" w:rsidRDefault="00F9005E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Zwalczanie przestępczości zorganizowanej i terroryzmu</w:t>
            </w:r>
          </w:p>
        </w:tc>
      </w:tr>
      <w:tr w:rsidR="00E64F01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14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Bezpieczeństwo energetyczne UE</w:t>
            </w:r>
          </w:p>
        </w:tc>
      </w:tr>
      <w:tr w:rsidR="00E64F01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  <w:r w:rsidR="007215A5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7F2F82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Polityka Bezpieczeństwa i O</w:t>
            </w:r>
            <w:r w:rsidR="00F9005E" w:rsidRPr="002A34EF">
              <w:rPr>
                <w:rFonts w:ascii="Corbel" w:eastAsia="Corbel" w:hAnsi="Corbel" w:cs="Corbel"/>
                <w:sz w:val="24"/>
                <w:szCs w:val="24"/>
              </w:rPr>
              <w:t>brony UE</w:t>
            </w:r>
          </w:p>
        </w:tc>
      </w:tr>
      <w:tr w:rsidR="00181A70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181A70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16</w:t>
            </w:r>
            <w:r w:rsidR="00181A70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181A70" w:rsidRPr="002A34EF" w:rsidRDefault="00181A70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Europejska Agencja Obrony</w:t>
            </w:r>
          </w:p>
        </w:tc>
      </w:tr>
      <w:tr w:rsidR="00040BE7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040BE7" w:rsidRPr="002A34EF" w:rsidRDefault="00040BE7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1</w:t>
            </w:r>
            <w:r w:rsidR="003D458D">
              <w:rPr>
                <w:rFonts w:ascii="Corbel" w:eastAsia="Corbel" w:hAnsi="Corbel" w:cs="Corbel"/>
                <w:sz w:val="24"/>
                <w:szCs w:val="24"/>
              </w:rPr>
              <w:t>7.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040BE7" w:rsidRPr="002A34EF" w:rsidRDefault="00040BE7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Op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 xml:space="preserve">eracje </w:t>
            </w:r>
            <w:r w:rsidR="008646FD">
              <w:rPr>
                <w:rFonts w:ascii="Corbel" w:eastAsia="Corbel" w:hAnsi="Corbel" w:cs="Corbel"/>
                <w:sz w:val="24"/>
                <w:szCs w:val="24"/>
              </w:rPr>
              <w:t xml:space="preserve">i misje cywilne 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 xml:space="preserve">wojskowe Unii Europejskiej </w:t>
            </w:r>
            <w:r w:rsidRPr="002A34EF">
              <w:rPr>
                <w:rFonts w:ascii="Corbel" w:eastAsia="Corbel" w:hAnsi="Corbel" w:cs="Corbel"/>
                <w:sz w:val="24"/>
                <w:szCs w:val="24"/>
              </w:rPr>
              <w:t xml:space="preserve">realizowane </w:t>
            </w:r>
            <w:r w:rsidR="00811471" w:rsidRPr="002A34EF">
              <w:rPr>
                <w:rFonts w:ascii="Corbel" w:eastAsia="Corbel" w:hAnsi="Corbel" w:cs="Corbel"/>
                <w:sz w:val="24"/>
                <w:szCs w:val="24"/>
              </w:rPr>
              <w:t>w ramach wspólnej polityki bezpieczeństwa i obrony</w:t>
            </w:r>
          </w:p>
        </w:tc>
      </w:tr>
      <w:tr w:rsidR="00E64F01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18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E64F01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hAnsi="Corbel"/>
                <w:sz w:val="24"/>
                <w:szCs w:val="24"/>
              </w:rPr>
              <w:t>System zarządzania kryzysowego Unii Europejskiej</w:t>
            </w:r>
          </w:p>
        </w:tc>
      </w:tr>
      <w:tr w:rsidR="00811471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81147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19</w:t>
            </w:r>
            <w:r w:rsidR="00FD7B5C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811471" w:rsidRPr="002A34EF" w:rsidRDefault="00811471" w:rsidP="002A34EF">
            <w:pPr>
              <w:spacing w:after="0" w:line="276" w:lineRule="auto"/>
              <w:rPr>
                <w:rFonts w:ascii="Corbel" w:hAnsi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Ochrona danych osobowych i informacji niejawnych w UE.</w:t>
            </w:r>
          </w:p>
        </w:tc>
      </w:tr>
      <w:tr w:rsidR="00E64F01" w:rsidRPr="002A34EF" w:rsidTr="00F05BFF">
        <w:tc>
          <w:tcPr>
            <w:tcW w:w="66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3D458D" w:rsidP="002A34EF">
            <w:pPr>
              <w:spacing w:after="0" w:line="276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20</w:t>
            </w:r>
            <w:r w:rsidR="00E64F01" w:rsidRPr="002A34EF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61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</w:tcPr>
          <w:p w:rsidR="00E64F01" w:rsidRPr="002A34EF" w:rsidRDefault="00E64F01" w:rsidP="002A34EF">
            <w:pPr>
              <w:spacing w:after="0" w:line="276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2A34EF">
              <w:rPr>
                <w:rFonts w:ascii="Corbel" w:eastAsia="Corbel" w:hAnsi="Corbel" w:cs="Corbel"/>
                <w:sz w:val="24"/>
                <w:szCs w:val="24"/>
              </w:rPr>
              <w:t>Kolokwium zaliczeniowe.</w:t>
            </w:r>
          </w:p>
        </w:tc>
      </w:tr>
    </w:tbl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3E548F" w:rsidRPr="00054AB8" w:rsidRDefault="009B6209" w:rsidP="00054AB8">
      <w:pPr>
        <w:spacing w:after="0" w:line="36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3.4 Metody dydaktyczne </w:t>
      </w:r>
    </w:p>
    <w:p w:rsidR="0080691B" w:rsidRPr="00D617D6" w:rsidRDefault="003E548F" w:rsidP="1BDF6459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color w:val="000000" w:themeColor="text1"/>
          <w:sz w:val="24"/>
          <w:szCs w:val="24"/>
        </w:rPr>
        <w:t>Wykład: w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ykład </w:t>
      </w:r>
      <w:r>
        <w:rPr>
          <w:rFonts w:ascii="Corbel" w:eastAsia="Arial" w:hAnsi="Corbel" w:cs="Arial"/>
          <w:color w:val="000000" w:themeColor="text1"/>
          <w:sz w:val="24"/>
          <w:szCs w:val="24"/>
        </w:rPr>
        <w:t>problemowy z wykorzystaniem z prezentacji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 multimedialn</w:t>
      </w:r>
      <w:r>
        <w:rPr>
          <w:rFonts w:ascii="Corbel" w:eastAsia="Arial" w:hAnsi="Corbel" w:cs="Arial"/>
          <w:color w:val="000000" w:themeColor="text1"/>
          <w:sz w:val="24"/>
          <w:szCs w:val="24"/>
        </w:rPr>
        <w:t>ej</w:t>
      </w:r>
    </w:p>
    <w:p w:rsidR="0080691B" w:rsidRPr="00D617D6" w:rsidRDefault="00FAD744" w:rsidP="1BDF6459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Ćwiczenia:</w:t>
      </w:r>
      <w:r w:rsidR="009B6209" w:rsidRPr="1BDF6459">
        <w:rPr>
          <w:rFonts w:ascii="Corbel" w:eastAsia="Arial" w:hAnsi="Corbel" w:cs="Arial"/>
          <w:color w:val="000000" w:themeColor="text1"/>
          <w:sz w:val="24"/>
          <w:szCs w:val="24"/>
        </w:rPr>
        <w:t xml:space="preserve"> dyskusja, praca w grupach, analiza i interpretacja tekstów źródłowych</w:t>
      </w:r>
      <w:r w:rsidR="071222DA" w:rsidRPr="1BDF6459">
        <w:rPr>
          <w:rFonts w:ascii="Corbel" w:eastAsia="Arial" w:hAnsi="Corbel" w:cs="Arial"/>
          <w:color w:val="000000" w:themeColor="text1"/>
          <w:sz w:val="24"/>
          <w:szCs w:val="24"/>
        </w:rPr>
        <w:t>.</w:t>
      </w:r>
    </w:p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054AB8" w:rsidRDefault="009B6209">
      <w:pPr>
        <w:tabs>
          <w:tab w:val="left" w:pos="284"/>
        </w:tabs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4. METODY I KRYTERIA OCENY </w:t>
      </w:r>
    </w:p>
    <w:p w:rsidR="0080691B" w:rsidRPr="00D617D6" w:rsidRDefault="0080691B">
      <w:pPr>
        <w:tabs>
          <w:tab w:val="left" w:pos="284"/>
        </w:tabs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054AB8" w:rsidRDefault="009B6209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>4.1 Sposoby weryfikacji efektów uczenia się</w:t>
      </w:r>
    </w:p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418"/>
        <w:gridCol w:w="6095"/>
        <w:gridCol w:w="1847"/>
      </w:tblGrid>
      <w:tr w:rsidR="00D617D6" w:rsidRPr="00D617D6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Symbol efektu</w:t>
            </w:r>
          </w:p>
          <w:p w:rsidR="0080691B" w:rsidRPr="00D617D6" w:rsidRDefault="0080691B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Metody oceny efektów uczenia się</w:t>
            </w:r>
          </w:p>
          <w:p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Forma zajęć dydaktycznych ( w, ćw, …)</w:t>
            </w:r>
          </w:p>
        </w:tc>
      </w:tr>
      <w:tr w:rsidR="00D617D6" w:rsidRPr="00D617D6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EK_ 01 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1F0E642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2A7F965D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2A34EF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  <w:p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ykład</w:t>
            </w:r>
          </w:p>
        </w:tc>
      </w:tr>
      <w:tr w:rsidR="00D617D6" w:rsidRPr="00D617D6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 02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51A8F8DF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0D09B7F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,</w:t>
            </w:r>
          </w:p>
          <w:p w:rsidR="0080691B" w:rsidRPr="00D617D6" w:rsidRDefault="003D458D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O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bserwacja w trakcie zajęć</w:t>
            </w:r>
            <w:r w:rsidR="3E931F8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2A34EF" w:rsidP="008646FD">
            <w:pPr>
              <w:spacing w:before="100" w:beforeAutospacing="1" w:after="100" w:afterAutospacing="1" w:line="276" w:lineRule="auto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  <w:p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ykład</w:t>
            </w:r>
          </w:p>
        </w:tc>
      </w:tr>
      <w:tr w:rsidR="00D617D6" w:rsidRPr="00D617D6" w:rsidTr="1BDF6459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44FAC380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52FA5AE6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  <w:tr w:rsidR="00D617D6" w:rsidRPr="00D617D6" w:rsidTr="1BDF6459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5DE69E87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23745C73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  <w:tr w:rsidR="00D617D6" w:rsidRPr="00D617D6" w:rsidTr="1BDF6459">
        <w:trPr>
          <w:trHeight w:val="1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9B6209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5985E6CF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Z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aliczenie testu pisemnego na ocenę pozytywną</w:t>
            </w:r>
            <w:r w:rsidR="6C41B030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1A2FE5" w:rsidP="008646FD">
            <w:pPr>
              <w:spacing w:before="100" w:beforeAutospacing="1" w:after="100" w:afterAutospacing="1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Ć</w:t>
            </w:r>
            <w:r w:rsidR="009B6209"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wiczenia</w:t>
            </w:r>
          </w:p>
        </w:tc>
      </w:tr>
    </w:tbl>
    <w:p w:rsidR="00F05BFF" w:rsidRDefault="00F05BFF">
      <w:pPr>
        <w:spacing w:after="0" w:line="240" w:lineRule="auto"/>
        <w:ind w:left="426"/>
        <w:rPr>
          <w:rFonts w:ascii="Corbel" w:eastAsia="Arial" w:hAnsi="Corbel" w:cs="Arial"/>
          <w:b/>
          <w:color w:val="000000" w:themeColor="text1"/>
          <w:sz w:val="28"/>
          <w:szCs w:val="28"/>
        </w:rPr>
      </w:pPr>
    </w:p>
    <w:p w:rsidR="0080691B" w:rsidRPr="00D617D6" w:rsidRDefault="009B6209">
      <w:pPr>
        <w:spacing w:after="0" w:line="240" w:lineRule="auto"/>
        <w:ind w:left="426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8"/>
          <w:szCs w:val="28"/>
        </w:rPr>
        <w:t>4.2</w:t>
      </w: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 Warunki zaliczenia przedmiotu (kryteria oceniania</w:t>
      </w: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 xml:space="preserve">) </w:t>
      </w:r>
    </w:p>
    <w:p w:rsidR="0080691B" w:rsidRPr="00D617D6" w:rsidRDefault="0080691B">
      <w:pPr>
        <w:spacing w:after="0" w:line="240" w:lineRule="auto"/>
        <w:ind w:left="426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468"/>
      </w:tblGrid>
      <w:tr w:rsidR="00D617D6" w:rsidRPr="00D617D6" w:rsidTr="1BDF6459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00F05BFF" w:rsidP="001A2FE5">
            <w:pPr>
              <w:spacing w:after="0" w:line="276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Wykład: e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gzamin: zaliczenie testu pisem</w:t>
            </w:r>
            <w:r w:rsidR="001A2FE5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nego na ocenę pozytywną (ponad 6</w:t>
            </w:r>
            <w:r w:rsidR="009B6209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0 % poprawnych odpowiedzi)</w:t>
            </w:r>
            <w:r w:rsidR="4CE67FA1" w:rsidRPr="1BDF6459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D617D6" w:rsidRPr="00D617D6" w:rsidTr="1BDF6459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F05BFF" w:rsidRDefault="00F05BFF" w:rsidP="001A2FE5">
            <w:pPr>
              <w:spacing w:after="0" w:line="276" w:lineRule="auto"/>
              <w:jc w:val="both"/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</w:pPr>
            <w:r w:rsidRPr="16637373">
              <w:rPr>
                <w:rFonts w:ascii="Corbel" w:hAnsi="Corbel"/>
              </w:rPr>
              <w:lastRenderedPageBreak/>
              <w:t>Ćwiczenia audytoryjne: ustalenie oceny zaliczeniowej na podst</w:t>
            </w:r>
            <w:r>
              <w:rPr>
                <w:rFonts w:ascii="Corbel" w:hAnsi="Corbel"/>
              </w:rPr>
              <w:t xml:space="preserve">awie ocen cząstkowych (referat/prezentacja, </w:t>
            </w:r>
            <w:r w:rsidRPr="16637373">
              <w:rPr>
                <w:rFonts w:ascii="Corbel" w:hAnsi="Corbel"/>
              </w:rPr>
              <w:t>aktywność na zajęciach, kolokwium –test)</w:t>
            </w:r>
          </w:p>
        </w:tc>
      </w:tr>
    </w:tbl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3E548F" w:rsidRDefault="009B6209">
      <w:pPr>
        <w:spacing w:after="0" w:line="240" w:lineRule="auto"/>
        <w:ind w:left="284" w:hanging="284"/>
        <w:jc w:val="both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3E548F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D617D6" w:rsidRDefault="0080691B">
      <w:pPr>
        <w:spacing w:after="0" w:line="240" w:lineRule="auto"/>
        <w:ind w:left="426"/>
        <w:rPr>
          <w:rFonts w:ascii="Corbel" w:eastAsia="Arial" w:hAnsi="Corbel" w:cs="Arial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874"/>
        <w:gridCol w:w="4594"/>
      </w:tblGrid>
      <w:tr w:rsidR="00D617D6" w:rsidRPr="00D617D6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D617D6" w:rsidRPr="00D617D6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3A545CD4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45</w:t>
            </w:r>
          </w:p>
        </w:tc>
      </w:tr>
      <w:tr w:rsidR="00D617D6" w:rsidRPr="00D617D6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009B6209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</w:t>
            </w:r>
          </w:p>
          <w:p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4FC465BE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30</w:t>
            </w:r>
          </w:p>
        </w:tc>
      </w:tr>
      <w:tr w:rsidR="00D617D6" w:rsidRPr="00D617D6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009B6209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54704A46" w:rsidP="2F3E2937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D617D6" w:rsidRPr="00D617D6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D617D6" w:rsidRPr="00D617D6" w:rsidTr="00AE6106">
        <w:trPr>
          <w:trHeight w:val="1"/>
        </w:trPr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70AD47" w:themeColor="accent6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70AD47" w:themeColor="accent6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0691B" w:rsidRPr="00D617D6" w:rsidRDefault="009B6209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80691B" w:rsidRPr="00D617D6" w:rsidRDefault="009B6209">
      <w:pPr>
        <w:spacing w:after="0" w:line="240" w:lineRule="auto"/>
        <w:ind w:left="426"/>
        <w:rPr>
          <w:rFonts w:ascii="Corbel" w:eastAsia="Arial" w:hAnsi="Corbel" w:cs="Arial"/>
          <w:i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i/>
          <w:color w:val="000000" w:themeColor="text1"/>
          <w:sz w:val="24"/>
          <w:szCs w:val="24"/>
        </w:rPr>
        <w:t>* Należy uwzględnić, że 1 pkt ECTS odpowiada 25-30 godzin całkowitego nakładu pracy studenta.</w:t>
      </w:r>
    </w:p>
    <w:p w:rsidR="0080691B" w:rsidRPr="00D617D6" w:rsidRDefault="0080691B">
      <w:pPr>
        <w:spacing w:after="0" w:line="240" w:lineRule="auto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3E548F" w:rsidRDefault="009B6209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3E548F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6. PRAKTYKI ZAWODOWE W RAMACH PRZEDMIOTU/ MODUŁU </w:t>
      </w:r>
    </w:p>
    <w:p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/>
      </w:tblPr>
      <w:tblGrid>
        <w:gridCol w:w="3544"/>
        <w:gridCol w:w="3969"/>
      </w:tblGrid>
      <w:tr w:rsidR="00D617D6" w:rsidRPr="00D617D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91B" w:rsidRPr="00D617D6" w:rsidRDefault="0080691B">
            <w:pPr>
              <w:spacing w:after="0" w:line="240" w:lineRule="auto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</w:tr>
      <w:tr w:rsidR="00D617D6" w:rsidRPr="00D617D6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91B" w:rsidRPr="00D617D6" w:rsidRDefault="009B6209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D617D6">
              <w:rPr>
                <w:rFonts w:ascii="Corbel" w:eastAsia="Arial" w:hAnsi="Corbel" w:cs="Arial"/>
                <w:color w:val="000000" w:themeColor="text1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691B" w:rsidRPr="00D617D6" w:rsidRDefault="0080691B">
            <w:pPr>
              <w:spacing w:after="0" w:line="240" w:lineRule="auto"/>
              <w:rPr>
                <w:rFonts w:ascii="Corbel" w:eastAsia="Calibri" w:hAnsi="Corbel" w:cs="Calibri"/>
                <w:color w:val="000000" w:themeColor="text1"/>
                <w:sz w:val="24"/>
                <w:szCs w:val="24"/>
              </w:rPr>
            </w:pPr>
          </w:p>
        </w:tc>
      </w:tr>
    </w:tbl>
    <w:p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054AB8" w:rsidRDefault="009B6209">
      <w:pPr>
        <w:spacing w:after="0" w:line="240" w:lineRule="auto"/>
        <w:rPr>
          <w:rFonts w:ascii="Corbel" w:eastAsia="Arial" w:hAnsi="Corbel" w:cs="Arial"/>
          <w:b/>
          <w:color w:val="000000" w:themeColor="text1"/>
          <w:sz w:val="24"/>
          <w:szCs w:val="24"/>
        </w:rPr>
      </w:pPr>
      <w:r w:rsidRPr="00054AB8">
        <w:rPr>
          <w:rFonts w:ascii="Corbel" w:eastAsia="Arial" w:hAnsi="Corbel" w:cs="Arial"/>
          <w:b/>
          <w:color w:val="000000" w:themeColor="text1"/>
          <w:sz w:val="24"/>
          <w:szCs w:val="24"/>
        </w:rPr>
        <w:t xml:space="preserve">7. LITERATURA </w:t>
      </w:r>
    </w:p>
    <w:p w:rsidR="0080691B" w:rsidRPr="00D617D6" w:rsidRDefault="0080691B">
      <w:pPr>
        <w:spacing w:after="200" w:line="276" w:lineRule="auto"/>
        <w:ind w:left="720" w:hanging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356"/>
      </w:tblGrid>
      <w:tr w:rsidR="00D617D6" w:rsidRPr="00D617D6" w:rsidTr="1BDF6459">
        <w:trPr>
          <w:trHeight w:val="1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80691B" w:rsidRPr="00D617D6" w:rsidRDefault="2C38F23A" w:rsidP="1BDF6459">
            <w:pPr>
              <w:pStyle w:val="Bezodstpw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</w:rPr>
              <w:t>Podstawowa:</w:t>
            </w:r>
          </w:p>
          <w:p w:rsidR="1BDF6459" w:rsidRDefault="1BDF6459" w:rsidP="1BDF6459">
            <w:pPr>
              <w:pStyle w:val="Bezodstpw"/>
              <w:jc w:val="both"/>
              <w:rPr>
                <w:rFonts w:ascii="Corbel" w:eastAsia="Corbel" w:hAnsi="Corbel" w:cs="Corbel"/>
              </w:rPr>
            </w:pPr>
          </w:p>
          <w:p w:rsidR="006E2C0B" w:rsidRPr="006E2C0B" w:rsidRDefault="006E2C0B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Jasiński J., Smoter K., </w:t>
            </w:r>
            <w:r w:rsidRPr="006E2C0B">
              <w:rPr>
                <w:rFonts w:ascii="Corbel" w:eastAsia="Corbel" w:hAnsi="Corbel" w:cs="Corbel"/>
                <w:i/>
                <w:sz w:val="24"/>
                <w:szCs w:val="24"/>
              </w:rPr>
              <w:t>Obszar wolności, bezpieczeństwa i sprawiedliwości Unii Europejskiej. Geneza, stan i perspektywy rozwoju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>, Urząd Komitetu Integracji Europejskiej, Warszawa 2005.</w:t>
            </w:r>
          </w:p>
          <w:p w:rsidR="000379DC" w:rsidRPr="006E2C0B" w:rsidRDefault="000379DC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Marczuk K. P., </w:t>
            </w:r>
            <w:r w:rsidRPr="006E2C0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wewnętrzne państw członkowskich Unii Europejskiej. Od bezpieczeństwa państwa do bezpieczeństwa ludzi,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 Warszawa 2012; </w:t>
            </w:r>
          </w:p>
          <w:p w:rsidR="006B06BA" w:rsidRPr="006B06BA" w:rsidRDefault="006B06BA" w:rsidP="006E2C0B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Piotrowski S., </w:t>
            </w:r>
            <w:r>
              <w:rPr>
                <w:rFonts w:ascii="Corbel" w:eastAsia="Corbel" w:hAnsi="Corbel" w:cs="Corbel"/>
                <w:i/>
                <w:sz w:val="24"/>
                <w:szCs w:val="24"/>
              </w:rPr>
              <w:t xml:space="preserve">Wspólna polityka bezpieczeństwa i obrony UE. Wymiar praktyczny, </w:t>
            </w:r>
            <w:r>
              <w:rPr>
                <w:rFonts w:ascii="Corbel" w:eastAsia="Corbel" w:hAnsi="Corbel" w:cs="Corbel"/>
                <w:sz w:val="24"/>
                <w:szCs w:val="24"/>
              </w:rPr>
              <w:t>Warszawa 2018.</w:t>
            </w:r>
          </w:p>
          <w:p w:rsidR="0080691B" w:rsidRPr="00D617D6" w:rsidRDefault="155FE8AA" w:rsidP="001A2FE5">
            <w:pPr>
              <w:pStyle w:val="Bezodstpw"/>
              <w:numPr>
                <w:ilvl w:val="0"/>
                <w:numId w:val="5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6E2C0B">
              <w:rPr>
                <w:rFonts w:ascii="Corbel" w:eastAsia="Corbel" w:hAnsi="Corbel" w:cs="Corbel"/>
                <w:sz w:val="24"/>
                <w:szCs w:val="24"/>
              </w:rPr>
              <w:t xml:space="preserve">Wawrzyk P., </w:t>
            </w:r>
            <w:r w:rsidRPr="006E2C0B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Bezpieczeństwo wewnętrzne Unii Europejskiej</w:t>
            </w:r>
            <w:r w:rsidRPr="006E2C0B">
              <w:rPr>
                <w:rFonts w:ascii="Corbel" w:eastAsia="Corbel" w:hAnsi="Corbel" w:cs="Corbel"/>
                <w:sz w:val="24"/>
                <w:szCs w:val="24"/>
              </w:rPr>
              <w:t>, Warszawa 2014.</w:t>
            </w:r>
          </w:p>
        </w:tc>
      </w:tr>
      <w:tr w:rsidR="00D617D6" w:rsidRPr="00D617D6" w:rsidTr="1BDF6459">
        <w:trPr>
          <w:trHeight w:val="1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1BDF6459" w:rsidRDefault="2C38F23A" w:rsidP="1BDF6459">
            <w:pPr>
              <w:pStyle w:val="Bezodstpw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>Uzupełniająca:</w:t>
            </w:r>
          </w:p>
          <w:p w:rsidR="002A34EF" w:rsidRPr="002A34EF" w:rsidRDefault="002A34EF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Aleksandrowicz T. R.,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Bezpieczeństwo w UE, </w:t>
            </w:r>
            <w:r w:rsidR="001A2FE5">
              <w:rPr>
                <w:rFonts w:ascii="Corbel" w:hAnsi="Corbel"/>
                <w:sz w:val="24"/>
                <w:szCs w:val="24"/>
              </w:rPr>
              <w:t xml:space="preserve">wyd. 2, </w:t>
            </w:r>
            <w:r>
              <w:rPr>
                <w:rFonts w:ascii="Corbel" w:hAnsi="Corbel"/>
                <w:sz w:val="24"/>
                <w:szCs w:val="24"/>
              </w:rPr>
              <w:t>Warszawa 2018.</w:t>
            </w:r>
          </w:p>
          <w:p w:rsidR="006E2C0B" w:rsidRPr="006E2C0B" w:rsidRDefault="006E2C0B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E2C0B">
              <w:rPr>
                <w:rFonts w:ascii="Corbel" w:hAnsi="Corbel"/>
                <w:sz w:val="24"/>
                <w:szCs w:val="24"/>
              </w:rPr>
              <w:lastRenderedPageBreak/>
              <w:t>Gruszczak</w:t>
            </w:r>
            <w:r w:rsidR="006E5AEB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6E2C0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E2C0B">
              <w:rPr>
                <w:rFonts w:ascii="Corbel" w:hAnsi="Corbel"/>
                <w:i/>
                <w:sz w:val="24"/>
                <w:szCs w:val="24"/>
              </w:rPr>
              <w:t>Bezpieczeństwo wewnętrzne Unii Europejskiej – zarządzanie strumieniowo-węzłowe</w:t>
            </w:r>
            <w:r>
              <w:rPr>
                <w:rFonts w:ascii="Corbel" w:hAnsi="Corbel"/>
                <w:sz w:val="24"/>
                <w:szCs w:val="24"/>
              </w:rPr>
              <w:t xml:space="preserve">, w: </w:t>
            </w:r>
            <w:r w:rsidRPr="006E2C0B">
              <w:rPr>
                <w:rFonts w:ascii="Corbel" w:hAnsi="Corbel"/>
                <w:i/>
                <w:sz w:val="24"/>
                <w:szCs w:val="24"/>
              </w:rPr>
              <w:t>Bezpieczeństwo w XXI wieku. Asymetryczny świat</w:t>
            </w:r>
            <w:r>
              <w:rPr>
                <w:rFonts w:ascii="Corbel" w:hAnsi="Corbel"/>
                <w:sz w:val="24"/>
                <w:szCs w:val="24"/>
              </w:rPr>
              <w:t xml:space="preserve">, red. K. Liedel, P. Piasecka, T.A. </w:t>
            </w:r>
            <w:r w:rsidRPr="006E2C0B">
              <w:rPr>
                <w:rFonts w:ascii="Corbel" w:hAnsi="Corbel"/>
                <w:sz w:val="24"/>
                <w:szCs w:val="24"/>
              </w:rPr>
              <w:t>Aleksandrowicz, Difin, Warszawa 2011.</w:t>
            </w:r>
          </w:p>
          <w:p w:rsidR="0080691B" w:rsidRPr="00D617D6" w:rsidRDefault="1E3AF5DD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>Kuś A., Kosińska A., Szachoń-Pszenny A. (red.),</w:t>
            </w:r>
            <w:r w:rsidR="58743E54"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Agencja FRONTEX w strefie Schengen. 10 lat doświadczeń</w:t>
            </w:r>
            <w:r w:rsidR="58743E54" w:rsidRPr="1BDF6459">
              <w:rPr>
                <w:rFonts w:ascii="Corbel" w:eastAsia="Corbel" w:hAnsi="Corbel" w:cs="Corbel"/>
                <w:sz w:val="24"/>
                <w:szCs w:val="24"/>
              </w:rPr>
              <w:t>, Wydawnictwo KUL, Lublin 2015.</w:t>
            </w:r>
          </w:p>
          <w:p w:rsidR="006B06BA" w:rsidRDefault="58743E54" w:rsidP="006B06BA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Kawka I.,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Kompetencje Unii Europejskiej i państw członkowskich w dziedzinie bezpieczeństwa wewnętrznego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„Studia Politologica” 2012. </w:t>
            </w:r>
          </w:p>
          <w:p w:rsidR="006B06BA" w:rsidRPr="006B06BA" w:rsidRDefault="006B06BA" w:rsidP="006B06BA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6B06BA">
              <w:rPr>
                <w:rFonts w:ascii="Corbel" w:eastAsia="Corbel" w:hAnsi="Corbel" w:cs="Corbel"/>
                <w:sz w:val="24"/>
                <w:szCs w:val="24"/>
              </w:rPr>
              <w:t xml:space="preserve">Mięrzejewski D. J., </w:t>
            </w:r>
            <w:r w:rsidRPr="006B06BA">
              <w:rPr>
                <w:rFonts w:ascii="Corbel" w:eastAsia="Corbel" w:hAnsi="Corbel" w:cs="Corbel"/>
                <w:i/>
                <w:sz w:val="24"/>
                <w:szCs w:val="24"/>
              </w:rPr>
              <w:t xml:space="preserve">Bezpieczeństwo Europejskie w warunkach przemian globalizacyjnych, </w:t>
            </w:r>
            <w:r w:rsidRPr="006B06BA">
              <w:rPr>
                <w:rFonts w:ascii="Corbel" w:eastAsia="Corbel" w:hAnsi="Corbel" w:cs="Corbel"/>
                <w:sz w:val="24"/>
                <w:szCs w:val="24"/>
              </w:rPr>
              <w:t>Toruń 2011;</w:t>
            </w:r>
          </w:p>
          <w:p w:rsidR="0080691B" w:rsidRPr="00D617D6" w:rsidRDefault="58743E54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Szymańska J.,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Rola wyspecjalizowanych agencji Unii Europejskiej w obszarze spraw wewnętrznych i wymiaru sprawiedliwości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, Oficyna Wydawnicza Aspra, Warszawa 2013. </w:t>
            </w:r>
          </w:p>
          <w:p w:rsidR="0080691B" w:rsidRPr="00D617D6" w:rsidRDefault="58743E54" w:rsidP="006E2C0B">
            <w:pPr>
              <w:pStyle w:val="Bezodstpw"/>
              <w:numPr>
                <w:ilvl w:val="0"/>
                <w:numId w:val="6"/>
              </w:numPr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DF6459">
              <w:rPr>
                <w:rFonts w:ascii="Corbel" w:eastAsia="Corbel" w:hAnsi="Corbel" w:cs="Corbel"/>
                <w:sz w:val="24"/>
                <w:szCs w:val="24"/>
              </w:rPr>
              <w:t xml:space="preserve">Wyligała H., </w:t>
            </w:r>
            <w:r w:rsidRPr="1BDF6459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Kształtowanie i monitorowanie strategii bezpieczeństwa wewnętrznego Unii Europejskiej,</w:t>
            </w:r>
            <w:r w:rsidR="00054AB8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 xml:space="preserve"> </w:t>
            </w:r>
            <w:r w:rsidRPr="1BDF6459">
              <w:rPr>
                <w:rFonts w:ascii="Corbel" w:eastAsia="Corbel" w:hAnsi="Corbel" w:cs="Corbel"/>
                <w:sz w:val="24"/>
                <w:szCs w:val="24"/>
              </w:rPr>
              <w:t>„Rocznik Bezpieczeństwa Międzynarodowego” 2014, nr 1 (8).</w:t>
            </w:r>
          </w:p>
        </w:tc>
      </w:tr>
    </w:tbl>
    <w:p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D617D6" w:rsidRDefault="0080691B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</w:p>
    <w:p w:rsidR="0080691B" w:rsidRPr="00D617D6" w:rsidRDefault="009B6209">
      <w:pPr>
        <w:spacing w:after="0" w:line="240" w:lineRule="auto"/>
        <w:ind w:left="360"/>
        <w:rPr>
          <w:rFonts w:ascii="Corbel" w:eastAsia="Arial" w:hAnsi="Corbel" w:cs="Arial"/>
          <w:color w:val="000000" w:themeColor="text1"/>
          <w:sz w:val="24"/>
          <w:szCs w:val="24"/>
        </w:rPr>
      </w:pPr>
      <w:r w:rsidRPr="00D617D6">
        <w:rPr>
          <w:rFonts w:ascii="Corbel" w:eastAsia="Arial" w:hAnsi="Corbel" w:cs="Arial"/>
          <w:color w:val="000000" w:themeColor="text1"/>
          <w:sz w:val="24"/>
          <w:szCs w:val="24"/>
        </w:rPr>
        <w:t>Akceptacja Kierownika Jednostki lub osoby upoważnionej</w:t>
      </w:r>
    </w:p>
    <w:sectPr w:rsidR="0080691B" w:rsidRPr="00D617D6" w:rsidSect="00ED27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E421C"/>
    <w:multiLevelType w:val="hybridMultilevel"/>
    <w:tmpl w:val="C1C65A24"/>
    <w:lvl w:ilvl="0" w:tplc="CEDC71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C5F03"/>
    <w:multiLevelType w:val="multilevel"/>
    <w:tmpl w:val="696245D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A363E8"/>
    <w:multiLevelType w:val="hybridMultilevel"/>
    <w:tmpl w:val="F7202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556DF"/>
    <w:multiLevelType w:val="hybridMultilevel"/>
    <w:tmpl w:val="4FB0796E"/>
    <w:lvl w:ilvl="0" w:tplc="ECA04B6E">
      <w:start w:val="1"/>
      <w:numFmt w:val="upperLetter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2C2A93"/>
    <w:multiLevelType w:val="multilevel"/>
    <w:tmpl w:val="179E6C44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98753E"/>
    <w:multiLevelType w:val="hybridMultilevel"/>
    <w:tmpl w:val="4564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F0FDD"/>
    <w:multiLevelType w:val="multilevel"/>
    <w:tmpl w:val="95544C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2B868A1"/>
    <w:rsid w:val="000178E8"/>
    <w:rsid w:val="000379DC"/>
    <w:rsid w:val="00040BE7"/>
    <w:rsid w:val="00054AB8"/>
    <w:rsid w:val="000929FC"/>
    <w:rsid w:val="00093D89"/>
    <w:rsid w:val="000A6974"/>
    <w:rsid w:val="001408D9"/>
    <w:rsid w:val="00181A70"/>
    <w:rsid w:val="00192100"/>
    <w:rsid w:val="001A2FE5"/>
    <w:rsid w:val="001B19F5"/>
    <w:rsid w:val="001F1506"/>
    <w:rsid w:val="002758F9"/>
    <w:rsid w:val="00282BB7"/>
    <w:rsid w:val="002A34EF"/>
    <w:rsid w:val="002D1AA4"/>
    <w:rsid w:val="0030378A"/>
    <w:rsid w:val="003D458D"/>
    <w:rsid w:val="003E548F"/>
    <w:rsid w:val="003F463E"/>
    <w:rsid w:val="004C64A8"/>
    <w:rsid w:val="00503751"/>
    <w:rsid w:val="005B2F7F"/>
    <w:rsid w:val="005D2BD9"/>
    <w:rsid w:val="005F3FC0"/>
    <w:rsid w:val="0066406A"/>
    <w:rsid w:val="00674B98"/>
    <w:rsid w:val="006B06BA"/>
    <w:rsid w:val="006E2C0B"/>
    <w:rsid w:val="006E5AEB"/>
    <w:rsid w:val="007215A5"/>
    <w:rsid w:val="007F2F82"/>
    <w:rsid w:val="008053D9"/>
    <w:rsid w:val="0080691B"/>
    <w:rsid w:val="00811471"/>
    <w:rsid w:val="00837548"/>
    <w:rsid w:val="0085082C"/>
    <w:rsid w:val="008646FD"/>
    <w:rsid w:val="009108CF"/>
    <w:rsid w:val="009362A3"/>
    <w:rsid w:val="009B6209"/>
    <w:rsid w:val="009C70D7"/>
    <w:rsid w:val="00A72489"/>
    <w:rsid w:val="00AC7C9F"/>
    <w:rsid w:val="00AE6106"/>
    <w:rsid w:val="00AF3D4F"/>
    <w:rsid w:val="00B735AB"/>
    <w:rsid w:val="00B950D7"/>
    <w:rsid w:val="00D12DBD"/>
    <w:rsid w:val="00D35BDE"/>
    <w:rsid w:val="00D617D6"/>
    <w:rsid w:val="00DD4561"/>
    <w:rsid w:val="00E55EC9"/>
    <w:rsid w:val="00E64F01"/>
    <w:rsid w:val="00ED2738"/>
    <w:rsid w:val="00F05BFF"/>
    <w:rsid w:val="00F10790"/>
    <w:rsid w:val="00F35C8A"/>
    <w:rsid w:val="00F9005E"/>
    <w:rsid w:val="00FAD744"/>
    <w:rsid w:val="00FC20F6"/>
    <w:rsid w:val="00FD7B5C"/>
    <w:rsid w:val="01ACC05C"/>
    <w:rsid w:val="029B4326"/>
    <w:rsid w:val="02B868A1"/>
    <w:rsid w:val="071222DA"/>
    <w:rsid w:val="0A6FA496"/>
    <w:rsid w:val="0B82BEE0"/>
    <w:rsid w:val="0D09B7F6"/>
    <w:rsid w:val="0EE1FC75"/>
    <w:rsid w:val="126072A0"/>
    <w:rsid w:val="12D48244"/>
    <w:rsid w:val="155FE8AA"/>
    <w:rsid w:val="15B220C0"/>
    <w:rsid w:val="1A5546A4"/>
    <w:rsid w:val="1BB88F23"/>
    <w:rsid w:val="1BDF6459"/>
    <w:rsid w:val="1CD553FD"/>
    <w:rsid w:val="1CDBD5AA"/>
    <w:rsid w:val="1DA3C80F"/>
    <w:rsid w:val="1E3AF5DD"/>
    <w:rsid w:val="1E79E12B"/>
    <w:rsid w:val="1F0E6429"/>
    <w:rsid w:val="1F143B37"/>
    <w:rsid w:val="1F3FDC53"/>
    <w:rsid w:val="208FEEA4"/>
    <w:rsid w:val="20DE3F67"/>
    <w:rsid w:val="21B181ED"/>
    <w:rsid w:val="21CFA47A"/>
    <w:rsid w:val="23745C73"/>
    <w:rsid w:val="2493819C"/>
    <w:rsid w:val="24C499E1"/>
    <w:rsid w:val="27884EB7"/>
    <w:rsid w:val="29434D86"/>
    <w:rsid w:val="2A7F965D"/>
    <w:rsid w:val="2BC3E46F"/>
    <w:rsid w:val="2BEB1B94"/>
    <w:rsid w:val="2C1678E4"/>
    <w:rsid w:val="2C2027C5"/>
    <w:rsid w:val="2C38F23A"/>
    <w:rsid w:val="2F3E2937"/>
    <w:rsid w:val="31F1ABCF"/>
    <w:rsid w:val="3588AD7F"/>
    <w:rsid w:val="38FE660D"/>
    <w:rsid w:val="39965498"/>
    <w:rsid w:val="3A545CD4"/>
    <w:rsid w:val="3D14D4B4"/>
    <w:rsid w:val="3DAC4975"/>
    <w:rsid w:val="3E6E2878"/>
    <w:rsid w:val="3E931F86"/>
    <w:rsid w:val="3F5C3A87"/>
    <w:rsid w:val="404EE0D6"/>
    <w:rsid w:val="40A3D6FE"/>
    <w:rsid w:val="4288E17A"/>
    <w:rsid w:val="4293DB49"/>
    <w:rsid w:val="44FAC380"/>
    <w:rsid w:val="458A10A0"/>
    <w:rsid w:val="46A8B8A3"/>
    <w:rsid w:val="48365788"/>
    <w:rsid w:val="49560EAC"/>
    <w:rsid w:val="4B0E0729"/>
    <w:rsid w:val="4C024DFE"/>
    <w:rsid w:val="4CBC06E5"/>
    <w:rsid w:val="4CE67FA1"/>
    <w:rsid w:val="4D6D7D88"/>
    <w:rsid w:val="4DD0DBE2"/>
    <w:rsid w:val="4EA9C12D"/>
    <w:rsid w:val="4ED913A4"/>
    <w:rsid w:val="4FC465BE"/>
    <w:rsid w:val="50F93852"/>
    <w:rsid w:val="513AA506"/>
    <w:rsid w:val="514646F2"/>
    <w:rsid w:val="51A8F8DF"/>
    <w:rsid w:val="52846CB6"/>
    <w:rsid w:val="52DD07B2"/>
    <w:rsid w:val="52F497F4"/>
    <w:rsid w:val="52FA5AE6"/>
    <w:rsid w:val="53C91402"/>
    <w:rsid w:val="53DED593"/>
    <w:rsid w:val="546AFDE5"/>
    <w:rsid w:val="54704A46"/>
    <w:rsid w:val="55F4EDCC"/>
    <w:rsid w:val="55FEFA41"/>
    <w:rsid w:val="5649C0CE"/>
    <w:rsid w:val="56735C71"/>
    <w:rsid w:val="56A86FC8"/>
    <w:rsid w:val="56C6C9F3"/>
    <w:rsid w:val="58629A54"/>
    <w:rsid w:val="58743E54"/>
    <w:rsid w:val="5985E6CF"/>
    <w:rsid w:val="59FE6AB5"/>
    <w:rsid w:val="5AD95FAE"/>
    <w:rsid w:val="5BEB7081"/>
    <w:rsid w:val="5D360B77"/>
    <w:rsid w:val="5DE69E87"/>
    <w:rsid w:val="5E28C939"/>
    <w:rsid w:val="5EE5D862"/>
    <w:rsid w:val="5F97687E"/>
    <w:rsid w:val="6063F38E"/>
    <w:rsid w:val="611317A5"/>
    <w:rsid w:val="633866CD"/>
    <w:rsid w:val="66F8DED4"/>
    <w:rsid w:val="6799BD7C"/>
    <w:rsid w:val="6868964A"/>
    <w:rsid w:val="699EFD31"/>
    <w:rsid w:val="6A35DFD5"/>
    <w:rsid w:val="6C41B030"/>
    <w:rsid w:val="6C44909A"/>
    <w:rsid w:val="6F16150E"/>
    <w:rsid w:val="703DD4E6"/>
    <w:rsid w:val="7048D478"/>
    <w:rsid w:val="70AC7FFD"/>
    <w:rsid w:val="72CC480B"/>
    <w:rsid w:val="74AF24E6"/>
    <w:rsid w:val="7671509A"/>
    <w:rsid w:val="77BED35D"/>
    <w:rsid w:val="79A62ADA"/>
    <w:rsid w:val="79E0364C"/>
    <w:rsid w:val="7C5AB33F"/>
    <w:rsid w:val="7E6FEF82"/>
    <w:rsid w:val="7F0DE03E"/>
    <w:rsid w:val="7F39CBA1"/>
    <w:rsid w:val="7F63A263"/>
    <w:rsid w:val="7FC5B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738"/>
  </w:style>
  <w:style w:type="paragraph" w:styleId="Nagwek2">
    <w:name w:val="heading 2"/>
    <w:basedOn w:val="Normalny"/>
    <w:link w:val="Nagwek2Znak"/>
    <w:uiPriority w:val="9"/>
    <w:qFormat/>
    <w:rsid w:val="00093D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2738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C64A8"/>
    <w:pPr>
      <w:spacing w:after="200" w:line="276" w:lineRule="auto"/>
      <w:ind w:left="720"/>
      <w:contextualSpacing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93D8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093D89"/>
    <w:rPr>
      <w:b/>
      <w:bCs/>
    </w:rPr>
  </w:style>
  <w:style w:type="character" w:styleId="Uwydatnienie">
    <w:name w:val="Emphasis"/>
    <w:basedOn w:val="Domylnaczcionkaakapitu"/>
    <w:uiPriority w:val="20"/>
    <w:qFormat/>
    <w:rsid w:val="00093D89"/>
    <w:rPr>
      <w:i/>
      <w:iCs/>
    </w:rPr>
  </w:style>
  <w:style w:type="paragraph" w:customStyle="1" w:styleId="Punktygwne">
    <w:name w:val="Punkty główne"/>
    <w:basedOn w:val="Normalny"/>
    <w:rsid w:val="003E548F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9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31F3B8-1624-46E6-B0EB-2C3BF018D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1FD168-FB54-4D2A-AF47-2752C9187C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E4B8EC-85E2-45CB-BB4A-F347E174E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Piękoś</dc:creator>
  <cp:lastModifiedBy>Krystian</cp:lastModifiedBy>
  <cp:revision>7</cp:revision>
  <dcterms:created xsi:type="dcterms:W3CDTF">2022-10-27T07:46:00Z</dcterms:created>
  <dcterms:modified xsi:type="dcterms:W3CDTF">2025-11-21T10:09:00Z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